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5E7" w:rsidRPr="00C1188E" w:rsidRDefault="00866DA0" w:rsidP="00C1188E">
      <w:pPr>
        <w:pStyle w:val="NormalnyWeb"/>
        <w:jc w:val="center"/>
        <w:rPr>
          <w:rFonts w:ascii="Calibri" w:hAnsi="Calibri"/>
          <w:b/>
          <w:color w:val="002060"/>
          <w:sz w:val="22"/>
          <w:szCs w:val="22"/>
        </w:rPr>
      </w:pPr>
      <w:r w:rsidRPr="00D93B9C">
        <w:rPr>
          <w:rFonts w:ascii="Calibri" w:hAnsi="Calibri"/>
          <w:b/>
          <w:color w:val="002060"/>
          <w:sz w:val="56"/>
          <w:szCs w:val="56"/>
        </w:rPr>
        <w:t xml:space="preserve">Wnioski z raportów niefinansowych </w:t>
      </w:r>
      <w:r w:rsidRPr="00D93B9C">
        <w:rPr>
          <w:rFonts w:ascii="Calibri" w:hAnsi="Calibri"/>
          <w:b/>
          <w:color w:val="002060"/>
          <w:sz w:val="56"/>
          <w:szCs w:val="56"/>
        </w:rPr>
        <w:br/>
        <w:t>za rok 2017</w:t>
      </w:r>
      <w:r w:rsidR="00A57655" w:rsidRPr="00D93B9C">
        <w:rPr>
          <w:rFonts w:ascii="Calibri" w:hAnsi="Calibri"/>
          <w:b/>
          <w:color w:val="002060"/>
          <w:sz w:val="56"/>
          <w:szCs w:val="56"/>
        </w:rPr>
        <w:br/>
      </w:r>
      <w:r w:rsidR="002708B7">
        <w:rPr>
          <w:rFonts w:ascii="Calibri" w:hAnsi="Calibri"/>
          <w:b/>
          <w:color w:val="002060"/>
          <w:sz w:val="28"/>
          <w:szCs w:val="32"/>
        </w:rPr>
        <w:br/>
      </w:r>
      <w:r w:rsidRPr="00D93B9C">
        <w:rPr>
          <w:rFonts w:ascii="Calibri" w:hAnsi="Calibri"/>
          <w:b/>
          <w:color w:val="002060"/>
          <w:sz w:val="32"/>
          <w:szCs w:val="32"/>
        </w:rPr>
        <w:t>20 czerwca</w:t>
      </w:r>
      <w:r w:rsidR="00A735E7" w:rsidRPr="00D93B9C">
        <w:rPr>
          <w:rFonts w:ascii="Calibri" w:hAnsi="Calibri"/>
          <w:b/>
          <w:color w:val="002060"/>
          <w:sz w:val="32"/>
          <w:szCs w:val="32"/>
        </w:rPr>
        <w:t xml:space="preserve"> 2018 roku</w:t>
      </w:r>
      <w:r w:rsidR="00F81561" w:rsidRPr="00D93B9C">
        <w:rPr>
          <w:rFonts w:ascii="Calibri" w:hAnsi="Calibri"/>
          <w:b/>
          <w:color w:val="002060"/>
          <w:sz w:val="32"/>
          <w:szCs w:val="32"/>
        </w:rPr>
        <w:br/>
      </w:r>
      <w:r w:rsidRPr="00866DA0">
        <w:rPr>
          <w:rFonts w:ascii="Calibri" w:hAnsi="Calibri"/>
          <w:color w:val="002060"/>
          <w:szCs w:val="32"/>
        </w:rPr>
        <w:t xml:space="preserve">EY </w:t>
      </w:r>
      <w:proofErr w:type="spellStart"/>
      <w:r w:rsidRPr="00866DA0">
        <w:rPr>
          <w:rFonts w:ascii="Calibri" w:hAnsi="Calibri"/>
          <w:color w:val="002060"/>
          <w:szCs w:val="32"/>
        </w:rPr>
        <w:t>Academy</w:t>
      </w:r>
      <w:proofErr w:type="spellEnd"/>
      <w:r w:rsidRPr="00866DA0">
        <w:rPr>
          <w:rFonts w:ascii="Calibri" w:hAnsi="Calibri"/>
          <w:color w:val="002060"/>
          <w:szCs w:val="32"/>
        </w:rPr>
        <w:t xml:space="preserve"> of Business </w:t>
      </w:r>
      <w:r>
        <w:rPr>
          <w:rFonts w:ascii="Calibri" w:hAnsi="Calibri"/>
          <w:color w:val="002060"/>
          <w:szCs w:val="32"/>
        </w:rPr>
        <w:br/>
        <w:t xml:space="preserve">ul. </w:t>
      </w:r>
      <w:r w:rsidRPr="00866DA0">
        <w:rPr>
          <w:rFonts w:ascii="Calibri" w:hAnsi="Calibri"/>
          <w:color w:val="002060"/>
          <w:szCs w:val="32"/>
        </w:rPr>
        <w:t>Lecha Kaczyńskiego 26</w:t>
      </w:r>
      <w:r w:rsidR="00D93B9C">
        <w:rPr>
          <w:rFonts w:ascii="Calibri" w:hAnsi="Calibri"/>
          <w:color w:val="002060"/>
          <w:szCs w:val="32"/>
        </w:rPr>
        <w:t>, Warszawa</w:t>
      </w:r>
      <w:r w:rsidR="00D93B9C">
        <w:rPr>
          <w:rFonts w:ascii="Calibri" w:hAnsi="Calibri"/>
          <w:color w:val="002060"/>
          <w:szCs w:val="32"/>
        </w:rPr>
        <w:br/>
      </w:r>
      <w:r w:rsidRPr="00866DA0">
        <w:rPr>
          <w:rFonts w:ascii="Calibri" w:hAnsi="Calibri"/>
          <w:color w:val="002060"/>
          <w:szCs w:val="32"/>
        </w:rPr>
        <w:t xml:space="preserve">budynek </w:t>
      </w:r>
      <w:proofErr w:type="gramStart"/>
      <w:r w:rsidRPr="00866DA0">
        <w:rPr>
          <w:rFonts w:ascii="Calibri" w:hAnsi="Calibri"/>
          <w:color w:val="002060"/>
          <w:szCs w:val="32"/>
        </w:rPr>
        <w:t>Focus,</w:t>
      </w:r>
      <w:proofErr w:type="gramEnd"/>
      <w:r w:rsidRPr="00866DA0">
        <w:rPr>
          <w:rFonts w:ascii="Calibri" w:hAnsi="Calibri"/>
          <w:color w:val="002060"/>
          <w:szCs w:val="32"/>
        </w:rPr>
        <w:t xml:space="preserve"> I piętro</w:t>
      </w:r>
    </w:p>
    <w:p w:rsidR="00D93B9C" w:rsidRDefault="00D93B9C" w:rsidP="00D93B9C">
      <w:pPr>
        <w:spacing w:after="0" w:line="240" w:lineRule="auto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10:3</w:t>
      </w:r>
      <w:r w:rsidR="00A57655">
        <w:rPr>
          <w:rFonts w:eastAsia="Times New Roman"/>
          <w:i/>
          <w:lang w:eastAsia="pl-PL"/>
        </w:rPr>
        <w:t>0</w:t>
      </w:r>
      <w:r>
        <w:rPr>
          <w:rFonts w:eastAsia="Times New Roman"/>
          <w:i/>
          <w:lang w:eastAsia="pl-PL"/>
        </w:rPr>
        <w:t>-10:5</w:t>
      </w:r>
      <w:r w:rsidR="00A57655">
        <w:rPr>
          <w:rFonts w:eastAsia="Times New Roman"/>
          <w:i/>
          <w:lang w:eastAsia="pl-PL"/>
        </w:rPr>
        <w:t>5</w:t>
      </w:r>
      <w:r w:rsidR="007B2339" w:rsidRPr="00A32D4D">
        <w:rPr>
          <w:rFonts w:eastAsia="Times New Roman"/>
          <w:i/>
          <w:lang w:eastAsia="pl-PL"/>
        </w:rPr>
        <w:t xml:space="preserve"> Rejestracja uczestników i kawa powitalna </w:t>
      </w:r>
    </w:p>
    <w:p w:rsidR="00D93B9C" w:rsidRPr="00D93B9C" w:rsidRDefault="00D93B9C" w:rsidP="00D93B9C">
      <w:pPr>
        <w:spacing w:after="0" w:line="240" w:lineRule="auto"/>
        <w:rPr>
          <w:rFonts w:eastAsia="Times New Roman"/>
          <w:i/>
          <w:lang w:eastAsia="pl-PL"/>
        </w:rPr>
      </w:pPr>
    </w:p>
    <w:p w:rsidR="00D93B9C" w:rsidRDefault="00D93B9C" w:rsidP="00D93B9C">
      <w:pPr>
        <w:spacing w:after="0" w:line="240" w:lineRule="auto"/>
        <w:rPr>
          <w:rFonts w:eastAsia="Times New Roman"/>
          <w:b/>
          <w:color w:val="002060"/>
          <w:lang w:eastAsia="pl-PL"/>
        </w:rPr>
      </w:pPr>
      <w:r>
        <w:rPr>
          <w:rFonts w:eastAsia="Times New Roman"/>
          <w:lang w:eastAsia="pl-PL"/>
        </w:rPr>
        <w:t>10:55-11:0</w:t>
      </w:r>
      <w:r w:rsidR="007B2339" w:rsidRPr="00A32D4D">
        <w:rPr>
          <w:rFonts w:eastAsia="Times New Roman"/>
          <w:lang w:eastAsia="pl-PL"/>
        </w:rPr>
        <w:t xml:space="preserve">0 </w:t>
      </w:r>
      <w:r w:rsidR="007B2339" w:rsidRPr="00C1188E">
        <w:rPr>
          <w:rFonts w:eastAsia="Times New Roman"/>
          <w:b/>
          <w:color w:val="002060"/>
          <w:lang w:eastAsia="pl-PL"/>
        </w:rPr>
        <w:t>Otwarcie konferencji</w:t>
      </w:r>
    </w:p>
    <w:p w:rsidR="00F0265B" w:rsidRPr="00D93B9C" w:rsidRDefault="00F0265B" w:rsidP="00D93B9C">
      <w:pPr>
        <w:spacing w:after="0" w:line="240" w:lineRule="auto"/>
        <w:rPr>
          <w:rFonts w:eastAsia="Times New Roman"/>
          <w:b/>
          <w:lang w:eastAsia="pl-PL"/>
        </w:rPr>
      </w:pPr>
    </w:p>
    <w:p w:rsidR="00C1188E" w:rsidRDefault="00D93B9C" w:rsidP="00F0265B">
      <w:pPr>
        <w:spacing w:after="0" w:line="240" w:lineRule="auto"/>
        <w:rPr>
          <w:rFonts w:eastAsia="Times New Roman"/>
          <w:b/>
          <w:color w:val="002060"/>
          <w:lang w:eastAsia="pl-PL"/>
        </w:rPr>
      </w:pPr>
      <w:r>
        <w:rPr>
          <w:rFonts w:eastAsia="Times New Roman"/>
          <w:lang w:eastAsia="pl-PL"/>
        </w:rPr>
        <w:t>11:0</w:t>
      </w:r>
      <w:r w:rsidR="00866DA0">
        <w:rPr>
          <w:rFonts w:eastAsia="Times New Roman"/>
          <w:lang w:eastAsia="pl-PL"/>
        </w:rPr>
        <w:t>0-12</w:t>
      </w:r>
      <w:r>
        <w:rPr>
          <w:rFonts w:eastAsia="Times New Roman"/>
          <w:lang w:eastAsia="pl-PL"/>
        </w:rPr>
        <w:t>:3</w:t>
      </w:r>
      <w:r w:rsidR="00F0265B" w:rsidRPr="00A32D4D">
        <w:rPr>
          <w:rFonts w:eastAsia="Times New Roman"/>
          <w:lang w:eastAsia="pl-PL"/>
        </w:rPr>
        <w:t>0</w:t>
      </w:r>
      <w:r w:rsidR="00F0265B">
        <w:rPr>
          <w:rFonts w:eastAsia="Times New Roman"/>
          <w:lang w:eastAsia="pl-PL"/>
        </w:rPr>
        <w:t xml:space="preserve"> </w:t>
      </w:r>
      <w:r w:rsidR="00866DA0" w:rsidRPr="00866DA0">
        <w:rPr>
          <w:rFonts w:eastAsia="Times New Roman"/>
          <w:b/>
          <w:color w:val="002060"/>
          <w:lang w:eastAsia="pl-PL"/>
        </w:rPr>
        <w:t>BLOK I</w:t>
      </w:r>
    </w:p>
    <w:p w:rsidR="00D93B9C" w:rsidRDefault="00D93B9C" w:rsidP="00F0265B">
      <w:pPr>
        <w:spacing w:after="0" w:line="240" w:lineRule="auto"/>
        <w:rPr>
          <w:rFonts w:eastAsia="Times New Roman"/>
          <w:b/>
          <w:color w:val="002060"/>
          <w:lang w:eastAsia="pl-PL"/>
        </w:rPr>
      </w:pPr>
    </w:p>
    <w:p w:rsidR="00866DA0" w:rsidRPr="0068629F" w:rsidRDefault="0068629F" w:rsidP="0068629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Statystyka raportów niefinansowych</w:t>
      </w:r>
    </w:p>
    <w:p w:rsidR="0068629F" w:rsidRDefault="0068629F" w:rsidP="00866DA0">
      <w:pPr>
        <w:numPr>
          <w:ilvl w:val="0"/>
          <w:numId w:val="9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Oświadczenia i sprawozdania niefinansowe</w:t>
      </w:r>
    </w:p>
    <w:p w:rsidR="0068629F" w:rsidRPr="00866DA0" w:rsidRDefault="0068629F" w:rsidP="00866DA0">
      <w:pPr>
        <w:numPr>
          <w:ilvl w:val="0"/>
          <w:numId w:val="9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Najbardziej popularne standardy i zbiory wytycznych</w:t>
      </w:r>
    </w:p>
    <w:p w:rsidR="00866DA0" w:rsidRPr="0068629F" w:rsidRDefault="00866DA0" w:rsidP="0068629F">
      <w:pPr>
        <w:spacing w:after="0" w:line="240" w:lineRule="auto"/>
        <w:rPr>
          <w:rFonts w:eastAsia="Times New Roman"/>
          <w:b/>
          <w:lang w:eastAsia="pl-PL"/>
        </w:rPr>
      </w:pPr>
      <w:r w:rsidRPr="0068629F">
        <w:rPr>
          <w:rFonts w:eastAsia="Times New Roman"/>
          <w:b/>
          <w:lang w:eastAsia="pl-PL"/>
        </w:rPr>
        <w:t>Raportowanie wpływu na środowisko naturalne</w:t>
      </w:r>
    </w:p>
    <w:p w:rsidR="0068629F" w:rsidRDefault="0068629F" w:rsidP="0068629F">
      <w:pPr>
        <w:numPr>
          <w:ilvl w:val="0"/>
          <w:numId w:val="9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Główne raportowane obszary wpływu spółek na środowisko</w:t>
      </w:r>
    </w:p>
    <w:p w:rsidR="0068629F" w:rsidRDefault="0068629F" w:rsidP="0068629F">
      <w:pPr>
        <w:numPr>
          <w:ilvl w:val="0"/>
          <w:numId w:val="9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Najczęściej pomijane tematy środowiskowe</w:t>
      </w:r>
    </w:p>
    <w:p w:rsidR="0068629F" w:rsidRPr="00866DA0" w:rsidRDefault="0068629F" w:rsidP="0068629F">
      <w:pPr>
        <w:numPr>
          <w:ilvl w:val="0"/>
          <w:numId w:val="9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Ocena jakości raportów z punktu widzenia organizacji typu </w:t>
      </w:r>
      <w:proofErr w:type="spellStart"/>
      <w:r>
        <w:rPr>
          <w:rFonts w:eastAsia="Times New Roman"/>
          <w:lang w:eastAsia="pl-PL"/>
        </w:rPr>
        <w:t>watchdog</w:t>
      </w:r>
      <w:proofErr w:type="spellEnd"/>
    </w:p>
    <w:p w:rsidR="00866DA0" w:rsidRPr="0068629F" w:rsidRDefault="00866DA0" w:rsidP="0068629F">
      <w:pPr>
        <w:spacing w:after="0" w:line="240" w:lineRule="auto"/>
        <w:rPr>
          <w:rFonts w:eastAsia="Times New Roman"/>
          <w:b/>
          <w:lang w:eastAsia="pl-PL"/>
        </w:rPr>
      </w:pPr>
      <w:r w:rsidRPr="0068629F">
        <w:rPr>
          <w:rFonts w:eastAsia="Times New Roman"/>
          <w:b/>
          <w:lang w:eastAsia="pl-PL"/>
        </w:rPr>
        <w:t>Raportowanie zużycia paliw i energii</w:t>
      </w:r>
    </w:p>
    <w:p w:rsidR="0068629F" w:rsidRDefault="0068629F" w:rsidP="0068629F">
      <w:pPr>
        <w:numPr>
          <w:ilvl w:val="0"/>
          <w:numId w:val="9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Popularne mierniki zużycia paliw i energii w raportach spółek</w:t>
      </w:r>
    </w:p>
    <w:p w:rsidR="0068629F" w:rsidRDefault="0068629F" w:rsidP="0068629F">
      <w:pPr>
        <w:numPr>
          <w:ilvl w:val="0"/>
          <w:numId w:val="9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Porównywalność danych pomiędzy spółkami</w:t>
      </w:r>
    </w:p>
    <w:p w:rsidR="0068629F" w:rsidRPr="0068629F" w:rsidRDefault="0068629F" w:rsidP="0068629F">
      <w:pPr>
        <w:numPr>
          <w:ilvl w:val="0"/>
          <w:numId w:val="9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Kompletność raportowanych danych w zakresie zużycia energii</w:t>
      </w:r>
    </w:p>
    <w:p w:rsidR="00866DA0" w:rsidRPr="0068629F" w:rsidRDefault="00866DA0" w:rsidP="0068629F">
      <w:pPr>
        <w:spacing w:after="0" w:line="240" w:lineRule="auto"/>
        <w:rPr>
          <w:rFonts w:eastAsia="Times New Roman"/>
          <w:b/>
          <w:color w:val="002060"/>
          <w:lang w:eastAsia="pl-PL"/>
        </w:rPr>
      </w:pPr>
      <w:r w:rsidRPr="0068629F">
        <w:rPr>
          <w:rFonts w:eastAsia="Times New Roman"/>
          <w:b/>
          <w:lang w:eastAsia="pl-PL"/>
        </w:rPr>
        <w:t>Prawa człowieka w spółkach i ich łańcuchach dostaw</w:t>
      </w:r>
    </w:p>
    <w:p w:rsidR="0068629F" w:rsidRDefault="00F3352A" w:rsidP="0068629F">
      <w:pPr>
        <w:numPr>
          <w:ilvl w:val="0"/>
          <w:numId w:val="9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Rozumienie</w:t>
      </w:r>
      <w:r w:rsidR="0068629F">
        <w:rPr>
          <w:rFonts w:eastAsia="Times New Roman"/>
          <w:lang w:eastAsia="pl-PL"/>
        </w:rPr>
        <w:t xml:space="preserve"> prawa człowieka </w:t>
      </w:r>
      <w:r>
        <w:rPr>
          <w:rFonts w:eastAsia="Times New Roman"/>
          <w:lang w:eastAsia="pl-PL"/>
        </w:rPr>
        <w:t>przez spółki raportujące</w:t>
      </w:r>
    </w:p>
    <w:p w:rsidR="0068629F" w:rsidRDefault="0068629F" w:rsidP="0068629F">
      <w:pPr>
        <w:numPr>
          <w:ilvl w:val="0"/>
          <w:numId w:val="9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Raportowanie praw człowieka w łańcuchu dostaw</w:t>
      </w:r>
    </w:p>
    <w:p w:rsidR="0068629F" w:rsidRPr="00866DA0" w:rsidRDefault="0068629F" w:rsidP="0068629F">
      <w:pPr>
        <w:numPr>
          <w:ilvl w:val="0"/>
          <w:numId w:val="9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Najczęstsze błędy w </w:t>
      </w:r>
      <w:r w:rsidR="00F3352A">
        <w:rPr>
          <w:rFonts w:eastAsia="Times New Roman"/>
          <w:lang w:eastAsia="pl-PL"/>
        </w:rPr>
        <w:t>opisie zagadnień związanych z prawami człowieka</w:t>
      </w:r>
    </w:p>
    <w:p w:rsidR="00D93B9C" w:rsidRPr="00866DA0" w:rsidRDefault="00D93B9C" w:rsidP="00866DA0">
      <w:pPr>
        <w:spacing w:after="0" w:line="240" w:lineRule="auto"/>
        <w:rPr>
          <w:rFonts w:eastAsia="Times New Roman"/>
          <w:b/>
          <w:color w:val="002060"/>
          <w:lang w:eastAsia="pl-PL"/>
        </w:rPr>
      </w:pPr>
    </w:p>
    <w:p w:rsidR="002708B7" w:rsidRDefault="00D93B9C" w:rsidP="00F0265B">
      <w:pPr>
        <w:spacing w:after="0" w:line="240" w:lineRule="auto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12:30-13:0</w:t>
      </w:r>
      <w:r w:rsidR="00866DA0" w:rsidRPr="00866DA0">
        <w:rPr>
          <w:rFonts w:eastAsia="Times New Roman"/>
          <w:i/>
          <w:lang w:eastAsia="pl-PL"/>
        </w:rPr>
        <w:t>0</w:t>
      </w:r>
      <w:r w:rsidR="00F0265B" w:rsidRPr="00F0265B">
        <w:rPr>
          <w:rFonts w:eastAsia="Times New Roman"/>
          <w:lang w:eastAsia="pl-PL"/>
        </w:rPr>
        <w:t xml:space="preserve"> </w:t>
      </w:r>
      <w:r w:rsidR="00F0265B" w:rsidRPr="00867810">
        <w:rPr>
          <w:rFonts w:eastAsia="Times New Roman"/>
          <w:i/>
          <w:lang w:eastAsia="pl-PL"/>
        </w:rPr>
        <w:t>Przerwa kawowa</w:t>
      </w:r>
    </w:p>
    <w:p w:rsidR="00D93B9C" w:rsidRDefault="00D93B9C" w:rsidP="00F0265B">
      <w:pPr>
        <w:spacing w:after="0" w:line="240" w:lineRule="auto"/>
        <w:rPr>
          <w:rFonts w:eastAsia="Times New Roman"/>
          <w:i/>
          <w:lang w:eastAsia="pl-PL"/>
        </w:rPr>
      </w:pPr>
    </w:p>
    <w:p w:rsidR="00866DA0" w:rsidRPr="00866DA0" w:rsidRDefault="00D93B9C" w:rsidP="00F0265B">
      <w:pPr>
        <w:spacing w:after="0" w:line="240" w:lineRule="auto"/>
        <w:rPr>
          <w:rFonts w:eastAsia="Times New Roman"/>
          <w:b/>
          <w:color w:val="002060"/>
          <w:lang w:eastAsia="pl-PL"/>
        </w:rPr>
      </w:pPr>
      <w:r>
        <w:rPr>
          <w:rFonts w:eastAsia="Times New Roman"/>
          <w:lang w:eastAsia="pl-PL"/>
        </w:rPr>
        <w:t>13:0</w:t>
      </w:r>
      <w:r w:rsidR="00866DA0" w:rsidRPr="00866DA0">
        <w:rPr>
          <w:rFonts w:eastAsia="Times New Roman"/>
          <w:lang w:eastAsia="pl-PL"/>
        </w:rPr>
        <w:t>0-14</w:t>
      </w:r>
      <w:r>
        <w:rPr>
          <w:rFonts w:eastAsia="Times New Roman"/>
          <w:lang w:eastAsia="pl-PL"/>
        </w:rPr>
        <w:t>:3</w:t>
      </w:r>
      <w:r w:rsidR="00866DA0" w:rsidRPr="00866DA0">
        <w:rPr>
          <w:rFonts w:eastAsia="Times New Roman"/>
          <w:lang w:eastAsia="pl-PL"/>
        </w:rPr>
        <w:t>0</w:t>
      </w:r>
      <w:r w:rsidR="00866DA0">
        <w:rPr>
          <w:rFonts w:eastAsia="Times New Roman"/>
          <w:lang w:eastAsia="pl-PL"/>
        </w:rPr>
        <w:t xml:space="preserve"> </w:t>
      </w:r>
      <w:r w:rsidR="00866DA0" w:rsidRPr="00866DA0">
        <w:rPr>
          <w:rFonts w:eastAsia="Times New Roman"/>
          <w:b/>
          <w:color w:val="002060"/>
          <w:lang w:eastAsia="pl-PL"/>
        </w:rPr>
        <w:t>BLOK II</w:t>
      </w:r>
    </w:p>
    <w:p w:rsidR="00866DA0" w:rsidRDefault="00866DA0" w:rsidP="00F0265B">
      <w:pPr>
        <w:spacing w:after="0" w:line="240" w:lineRule="auto"/>
        <w:rPr>
          <w:rFonts w:eastAsia="Times New Roman"/>
          <w:lang w:eastAsia="pl-PL"/>
        </w:rPr>
      </w:pPr>
    </w:p>
    <w:p w:rsidR="00866DA0" w:rsidRPr="0068629F" w:rsidRDefault="00866DA0" w:rsidP="0068629F">
      <w:pPr>
        <w:spacing w:after="0" w:line="240" w:lineRule="auto"/>
        <w:rPr>
          <w:rFonts w:eastAsia="Times New Roman"/>
          <w:b/>
          <w:lang w:eastAsia="pl-PL"/>
        </w:rPr>
      </w:pPr>
      <w:r w:rsidRPr="0068629F">
        <w:rPr>
          <w:rFonts w:eastAsia="Times New Roman"/>
          <w:b/>
          <w:lang w:eastAsia="pl-PL"/>
        </w:rPr>
        <w:t>Kodeksy etyki i polityki niefinansowe w raportach spółek</w:t>
      </w:r>
    </w:p>
    <w:p w:rsidR="0068629F" w:rsidRDefault="00F3352A" w:rsidP="00866DA0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Czy spółki stosują kodeksy etyki lub analogiczne regulacje wewnętrzne</w:t>
      </w:r>
    </w:p>
    <w:p w:rsidR="00F3352A" w:rsidRDefault="00F3352A" w:rsidP="00866DA0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Polityki w spółce dominującej i w grupie kapitałowej – najczęstsze błędy w opisach</w:t>
      </w:r>
    </w:p>
    <w:p w:rsidR="00F3352A" w:rsidRPr="00866DA0" w:rsidRDefault="00F3352A" w:rsidP="00866DA0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Najbardziej popularne cele polityk i mierniki ich realizacji</w:t>
      </w:r>
    </w:p>
    <w:p w:rsidR="00866DA0" w:rsidRPr="0068629F" w:rsidRDefault="00866DA0" w:rsidP="0068629F">
      <w:pPr>
        <w:spacing w:after="0" w:line="240" w:lineRule="auto"/>
        <w:rPr>
          <w:rFonts w:eastAsia="Times New Roman"/>
          <w:b/>
          <w:lang w:eastAsia="pl-PL"/>
        </w:rPr>
      </w:pPr>
      <w:r w:rsidRPr="0068629F">
        <w:rPr>
          <w:rFonts w:eastAsia="Times New Roman"/>
          <w:b/>
          <w:lang w:eastAsia="pl-PL"/>
        </w:rPr>
        <w:t>Oświadczenia i sprawozdania niefinansowe w strukturze raportów rocznych</w:t>
      </w:r>
    </w:p>
    <w:p w:rsidR="0068629F" w:rsidRDefault="00F3352A" w:rsidP="0068629F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Umiejscowienie raportu niefinansowego w strukturze raportu rocznego</w:t>
      </w:r>
    </w:p>
    <w:p w:rsidR="00F3352A" w:rsidRDefault="00F3352A" w:rsidP="0068629F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Wzajemne relacje pomiędzy oświadczeniem/sprawozdaniem niefinansowym a sprawozdaniem zarządu z działalności</w:t>
      </w:r>
    </w:p>
    <w:p w:rsidR="00F3352A" w:rsidRPr="00866DA0" w:rsidRDefault="00F3352A" w:rsidP="0068629F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Zarząd i Rada Nadzorcza wobec raportu niefinansowego</w:t>
      </w:r>
    </w:p>
    <w:p w:rsidR="00866DA0" w:rsidRPr="0068629F" w:rsidRDefault="00866DA0" w:rsidP="0068629F">
      <w:pPr>
        <w:spacing w:after="0" w:line="240" w:lineRule="auto"/>
        <w:rPr>
          <w:rFonts w:eastAsia="Times New Roman"/>
          <w:b/>
          <w:lang w:eastAsia="pl-PL"/>
        </w:rPr>
      </w:pPr>
      <w:r w:rsidRPr="0068629F">
        <w:rPr>
          <w:rFonts w:eastAsia="Times New Roman"/>
          <w:b/>
          <w:lang w:eastAsia="pl-PL"/>
        </w:rPr>
        <w:t>Raporty niefinansowe za rok 2017 wobec oczekiwań inwestorów</w:t>
      </w:r>
    </w:p>
    <w:p w:rsidR="0068629F" w:rsidRDefault="00F3352A" w:rsidP="0068629F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Użyteczność raportów niefinansowych dla inwestora</w:t>
      </w:r>
    </w:p>
    <w:p w:rsidR="00F3352A" w:rsidRDefault="00F3352A" w:rsidP="0068629F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Najczęstsze błędy w zakresie porównywalności wskaźników</w:t>
      </w:r>
    </w:p>
    <w:p w:rsidR="00F3352A" w:rsidRPr="00866DA0" w:rsidRDefault="00F3352A" w:rsidP="0068629F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Wykorzystanie raportów do rozliczenia zarządu ze złożonych deklaracji</w:t>
      </w:r>
    </w:p>
    <w:p w:rsidR="00866DA0" w:rsidRPr="0068629F" w:rsidRDefault="00866DA0" w:rsidP="0068629F">
      <w:pPr>
        <w:spacing w:after="0" w:line="240" w:lineRule="auto"/>
        <w:rPr>
          <w:rFonts w:eastAsia="Times New Roman"/>
          <w:b/>
          <w:lang w:eastAsia="pl-PL"/>
        </w:rPr>
      </w:pPr>
      <w:r w:rsidRPr="0068629F">
        <w:rPr>
          <w:rFonts w:eastAsia="Times New Roman"/>
          <w:b/>
          <w:lang w:eastAsia="pl-PL"/>
        </w:rPr>
        <w:lastRenderedPageBreak/>
        <w:t>Nadzór na</w:t>
      </w:r>
      <w:r w:rsidR="008E45A7">
        <w:rPr>
          <w:rFonts w:eastAsia="Times New Roman"/>
          <w:b/>
          <w:lang w:eastAsia="pl-PL"/>
        </w:rPr>
        <w:t>d</w:t>
      </w:r>
      <w:bookmarkStart w:id="0" w:name="_GoBack"/>
      <w:bookmarkEnd w:id="0"/>
      <w:r w:rsidRPr="0068629F">
        <w:rPr>
          <w:rFonts w:eastAsia="Times New Roman"/>
          <w:b/>
          <w:lang w:eastAsia="pl-PL"/>
        </w:rPr>
        <w:t xml:space="preserve"> oświadczeniami i sprawozdaniami niefinansowymi</w:t>
      </w:r>
    </w:p>
    <w:p w:rsidR="0068629F" w:rsidRDefault="00F3352A" w:rsidP="0068629F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Wymogi odnośnie raportów niefinansowych ze strony nadzorcy</w:t>
      </w:r>
    </w:p>
    <w:p w:rsidR="00F3352A" w:rsidRDefault="00F3352A" w:rsidP="0068629F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Działania nadzorcze wobec spółek raportujących błędnie</w:t>
      </w:r>
    </w:p>
    <w:p w:rsidR="00F3352A" w:rsidRPr="00866DA0" w:rsidRDefault="00F3352A" w:rsidP="0068629F">
      <w:pPr>
        <w:numPr>
          <w:ilvl w:val="0"/>
          <w:numId w:val="10"/>
        </w:numPr>
        <w:spacing w:after="0" w:line="240" w:lineRule="auto"/>
        <w:ind w:left="170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Główne obszary do poprawy w raportach niefinansowych za rok 2018</w:t>
      </w:r>
    </w:p>
    <w:p w:rsidR="00D93B9C" w:rsidRPr="002708B7" w:rsidRDefault="00D93B9C" w:rsidP="00636AC6">
      <w:pPr>
        <w:pStyle w:val="Akapitzlist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="00636AC6" w:rsidRPr="002708B7" w:rsidRDefault="00D93B9C" w:rsidP="00636AC6">
      <w:pPr>
        <w:pStyle w:val="Akapitzlist"/>
        <w:spacing w:after="0" w:line="240" w:lineRule="auto"/>
        <w:ind w:left="0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14:30-15:3</w:t>
      </w:r>
      <w:r w:rsidR="002708B7" w:rsidRPr="002708B7">
        <w:rPr>
          <w:rFonts w:eastAsia="Times New Roman"/>
          <w:i/>
          <w:lang w:eastAsia="pl-PL"/>
        </w:rPr>
        <w:t>0 Lunch</w:t>
      </w:r>
    </w:p>
    <w:sectPr w:rsidR="00636AC6" w:rsidRPr="002708B7" w:rsidSect="00866DA0">
      <w:headerReference w:type="default" r:id="rId9"/>
      <w:pgSz w:w="11906" w:h="16838"/>
      <w:pgMar w:top="69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C99" w:rsidRDefault="00C51C99" w:rsidP="00E569A4">
      <w:pPr>
        <w:spacing w:after="0" w:line="240" w:lineRule="auto"/>
      </w:pPr>
      <w:r>
        <w:separator/>
      </w:r>
    </w:p>
  </w:endnote>
  <w:endnote w:type="continuationSeparator" w:id="0">
    <w:p w:rsidR="00C51C99" w:rsidRDefault="00C51C99" w:rsidP="00E5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C99" w:rsidRDefault="00C51C99" w:rsidP="00E569A4">
      <w:pPr>
        <w:spacing w:after="0" w:line="240" w:lineRule="auto"/>
      </w:pPr>
      <w:r>
        <w:separator/>
      </w:r>
    </w:p>
  </w:footnote>
  <w:footnote w:type="continuationSeparator" w:id="0">
    <w:p w:rsidR="00C51C99" w:rsidRDefault="00C51C99" w:rsidP="00E56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9A4" w:rsidRPr="00866DA0" w:rsidRDefault="00866DA0">
    <w:pPr>
      <w:pStyle w:val="Nagwek"/>
      <w:rPr>
        <w:b/>
      </w:rPr>
    </w:pPr>
    <w:r w:rsidRPr="00866DA0">
      <w:rPr>
        <w:b/>
      </w:rPr>
      <w:t xml:space="preserve">ORGANIZATOR                                            </w:t>
    </w:r>
    <w:r>
      <w:rPr>
        <w:b/>
      </w:rPr>
      <w:t xml:space="preserve">  </w:t>
    </w:r>
    <w:r w:rsidRPr="00866DA0">
      <w:rPr>
        <w:b/>
      </w:rPr>
      <w:t xml:space="preserve"> PARTNER                       </w:t>
    </w:r>
    <w:r>
      <w:rPr>
        <w:b/>
      </w:rPr>
      <w:t xml:space="preserve">               </w:t>
    </w:r>
    <w:proofErr w:type="spellStart"/>
    <w:r w:rsidRPr="00866DA0">
      <w:rPr>
        <w:b/>
      </w:rPr>
      <w:t>PARTNER</w:t>
    </w:r>
    <w:proofErr w:type="spellEnd"/>
    <w:r w:rsidRPr="00866DA0">
      <w:rPr>
        <w:b/>
      </w:rPr>
      <w:t xml:space="preserve"> TECHNOLOGICZNY</w:t>
    </w:r>
  </w:p>
  <w:p w:rsidR="00866DA0" w:rsidRDefault="008F3CFB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120650</wp:posOffset>
          </wp:positionV>
          <wp:extent cx="1062355" cy="603250"/>
          <wp:effectExtent l="0" t="0" r="0" b="0"/>
          <wp:wrapNone/>
          <wp:docPr id="8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1743710</wp:posOffset>
          </wp:positionH>
          <wp:positionV relativeFrom="paragraph">
            <wp:posOffset>117475</wp:posOffset>
          </wp:positionV>
          <wp:extent cx="1786255" cy="546100"/>
          <wp:effectExtent l="0" t="0" r="0" b="0"/>
          <wp:wrapNone/>
          <wp:docPr id="7" name="Obraz 7" descr="EY AoB_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Y AoB_small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6DA0" w:rsidRDefault="008F3CFB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4134485</wp:posOffset>
          </wp:positionH>
          <wp:positionV relativeFrom="paragraph">
            <wp:posOffset>153670</wp:posOffset>
          </wp:positionV>
          <wp:extent cx="1562100" cy="400050"/>
          <wp:effectExtent l="0" t="0" r="0" b="0"/>
          <wp:wrapNone/>
          <wp:docPr id="6" name="Obraz 6" descr="logo Unicomp w krzywych_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Unicomp w krzywych_small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6DA0" w:rsidRDefault="00866DA0">
    <w:pPr>
      <w:pStyle w:val="Nagwek"/>
    </w:pPr>
  </w:p>
  <w:p w:rsidR="00866DA0" w:rsidRDefault="00866DA0">
    <w:pPr>
      <w:pStyle w:val="Nagwek"/>
    </w:pPr>
  </w:p>
  <w:p w:rsidR="00866DA0" w:rsidRDefault="00866DA0">
    <w:pPr>
      <w:pStyle w:val="Nagwek"/>
    </w:pPr>
  </w:p>
  <w:p w:rsidR="00E569A4" w:rsidRDefault="00E569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10F2D"/>
    <w:multiLevelType w:val="hybridMultilevel"/>
    <w:tmpl w:val="ADAE7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0E04"/>
    <w:multiLevelType w:val="hybridMultilevel"/>
    <w:tmpl w:val="ACFCA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60F5"/>
    <w:multiLevelType w:val="hybridMultilevel"/>
    <w:tmpl w:val="07383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3E49"/>
    <w:multiLevelType w:val="hybridMultilevel"/>
    <w:tmpl w:val="7902D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40CD5"/>
    <w:multiLevelType w:val="hybridMultilevel"/>
    <w:tmpl w:val="FADA1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E6D04"/>
    <w:multiLevelType w:val="hybridMultilevel"/>
    <w:tmpl w:val="0018F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B6596"/>
    <w:multiLevelType w:val="hybridMultilevel"/>
    <w:tmpl w:val="CBA2A7DC"/>
    <w:lvl w:ilvl="0" w:tplc="11320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65EA6"/>
    <w:multiLevelType w:val="hybridMultilevel"/>
    <w:tmpl w:val="11F09E32"/>
    <w:lvl w:ilvl="0" w:tplc="5A469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F76B7"/>
    <w:multiLevelType w:val="hybridMultilevel"/>
    <w:tmpl w:val="43883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B7CF7"/>
    <w:multiLevelType w:val="hybridMultilevel"/>
    <w:tmpl w:val="C6A2C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5D14C71-E890-4C1F-B0E2-75072C4C5D9E}"/>
  </w:docVars>
  <w:rsids>
    <w:rsidRoot w:val="00194267"/>
    <w:rsid w:val="00014102"/>
    <w:rsid w:val="00070BAE"/>
    <w:rsid w:val="00072A4F"/>
    <w:rsid w:val="000974CD"/>
    <w:rsid w:val="000A61B5"/>
    <w:rsid w:val="000F25AC"/>
    <w:rsid w:val="0014113D"/>
    <w:rsid w:val="001645CE"/>
    <w:rsid w:val="0017187B"/>
    <w:rsid w:val="00187AD9"/>
    <w:rsid w:val="00194267"/>
    <w:rsid w:val="001A0184"/>
    <w:rsid w:val="001C3759"/>
    <w:rsid w:val="001F5786"/>
    <w:rsid w:val="00202FCF"/>
    <w:rsid w:val="0025058A"/>
    <w:rsid w:val="0026658D"/>
    <w:rsid w:val="002708B7"/>
    <w:rsid w:val="0028124F"/>
    <w:rsid w:val="002C20F7"/>
    <w:rsid w:val="002C7626"/>
    <w:rsid w:val="003005F0"/>
    <w:rsid w:val="00352F29"/>
    <w:rsid w:val="00363AEA"/>
    <w:rsid w:val="00382B5E"/>
    <w:rsid w:val="0039283F"/>
    <w:rsid w:val="003A4205"/>
    <w:rsid w:val="003A7795"/>
    <w:rsid w:val="003B0474"/>
    <w:rsid w:val="003D58C3"/>
    <w:rsid w:val="00423D12"/>
    <w:rsid w:val="0043036E"/>
    <w:rsid w:val="004359E5"/>
    <w:rsid w:val="00447234"/>
    <w:rsid w:val="004616D4"/>
    <w:rsid w:val="00473847"/>
    <w:rsid w:val="00483A38"/>
    <w:rsid w:val="00493E3D"/>
    <w:rsid w:val="00503334"/>
    <w:rsid w:val="00527575"/>
    <w:rsid w:val="00541267"/>
    <w:rsid w:val="00545D25"/>
    <w:rsid w:val="0055018D"/>
    <w:rsid w:val="005B00BF"/>
    <w:rsid w:val="00605C4F"/>
    <w:rsid w:val="00633BB5"/>
    <w:rsid w:val="00636AC6"/>
    <w:rsid w:val="006425B7"/>
    <w:rsid w:val="00644DCF"/>
    <w:rsid w:val="00655504"/>
    <w:rsid w:val="00665FEB"/>
    <w:rsid w:val="0068629F"/>
    <w:rsid w:val="00687617"/>
    <w:rsid w:val="006A294B"/>
    <w:rsid w:val="006B41BC"/>
    <w:rsid w:val="006B487B"/>
    <w:rsid w:val="006C158C"/>
    <w:rsid w:val="006D0397"/>
    <w:rsid w:val="00752FF5"/>
    <w:rsid w:val="00781764"/>
    <w:rsid w:val="007A44C9"/>
    <w:rsid w:val="007B2339"/>
    <w:rsid w:val="007B24DF"/>
    <w:rsid w:val="007B514A"/>
    <w:rsid w:val="007F1C50"/>
    <w:rsid w:val="008164CD"/>
    <w:rsid w:val="00841DE3"/>
    <w:rsid w:val="00866DA0"/>
    <w:rsid w:val="00867810"/>
    <w:rsid w:val="0088624B"/>
    <w:rsid w:val="008A21AB"/>
    <w:rsid w:val="008B0B51"/>
    <w:rsid w:val="008D2BF9"/>
    <w:rsid w:val="008E45A7"/>
    <w:rsid w:val="008F3CFB"/>
    <w:rsid w:val="009030EC"/>
    <w:rsid w:val="009639D1"/>
    <w:rsid w:val="00964C65"/>
    <w:rsid w:val="00977517"/>
    <w:rsid w:val="009869A2"/>
    <w:rsid w:val="00991E74"/>
    <w:rsid w:val="009A785C"/>
    <w:rsid w:val="009E176F"/>
    <w:rsid w:val="009F38A8"/>
    <w:rsid w:val="00A32D4D"/>
    <w:rsid w:val="00A57655"/>
    <w:rsid w:val="00A71D72"/>
    <w:rsid w:val="00A735E7"/>
    <w:rsid w:val="00A84DAC"/>
    <w:rsid w:val="00AA4DF8"/>
    <w:rsid w:val="00AB56CF"/>
    <w:rsid w:val="00AC7D58"/>
    <w:rsid w:val="00AD28AB"/>
    <w:rsid w:val="00AF6A36"/>
    <w:rsid w:val="00AF6BBA"/>
    <w:rsid w:val="00B037EA"/>
    <w:rsid w:val="00B40025"/>
    <w:rsid w:val="00B452FB"/>
    <w:rsid w:val="00B66C68"/>
    <w:rsid w:val="00B66DD9"/>
    <w:rsid w:val="00B67C80"/>
    <w:rsid w:val="00B729A5"/>
    <w:rsid w:val="00B761DA"/>
    <w:rsid w:val="00BE5F55"/>
    <w:rsid w:val="00C1188E"/>
    <w:rsid w:val="00C25EEE"/>
    <w:rsid w:val="00C40554"/>
    <w:rsid w:val="00C51C99"/>
    <w:rsid w:val="00CA2F76"/>
    <w:rsid w:val="00CD58D8"/>
    <w:rsid w:val="00CF0FE5"/>
    <w:rsid w:val="00CF3A17"/>
    <w:rsid w:val="00CF6ABC"/>
    <w:rsid w:val="00D310F7"/>
    <w:rsid w:val="00D93B9C"/>
    <w:rsid w:val="00DA0726"/>
    <w:rsid w:val="00DE7C8B"/>
    <w:rsid w:val="00E569A4"/>
    <w:rsid w:val="00E56B2F"/>
    <w:rsid w:val="00E719A5"/>
    <w:rsid w:val="00E957EE"/>
    <w:rsid w:val="00EB1004"/>
    <w:rsid w:val="00EE1298"/>
    <w:rsid w:val="00F0265B"/>
    <w:rsid w:val="00F14EB9"/>
    <w:rsid w:val="00F25662"/>
    <w:rsid w:val="00F3352A"/>
    <w:rsid w:val="00F60301"/>
    <w:rsid w:val="00F81561"/>
    <w:rsid w:val="00FE2C3A"/>
    <w:rsid w:val="00FE3711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A769D"/>
  <w15:chartTrackingRefBased/>
  <w15:docId w15:val="{9D4D2165-B52D-E844-829C-F1781E26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629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A44C9"/>
  </w:style>
  <w:style w:type="paragraph" w:styleId="Akapitzlist">
    <w:name w:val="List Paragraph"/>
    <w:basedOn w:val="Normalny"/>
    <w:uiPriority w:val="34"/>
    <w:qFormat/>
    <w:rsid w:val="004303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66DD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B233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9A4"/>
  </w:style>
  <w:style w:type="paragraph" w:styleId="Stopka">
    <w:name w:val="footer"/>
    <w:basedOn w:val="Normalny"/>
    <w:link w:val="StopkaZnak"/>
    <w:uiPriority w:val="99"/>
    <w:unhideWhenUsed/>
    <w:rsid w:val="00E5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4C71-E890-4C1F-B0E2-75072C4C5D9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C30161A-791C-FC48-A50B-31AD06E2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Piotr Biernacki</cp:lastModifiedBy>
  <cp:revision>2</cp:revision>
  <cp:lastPrinted>2018-02-05T08:14:00Z</cp:lastPrinted>
  <dcterms:created xsi:type="dcterms:W3CDTF">2018-05-23T10:28:00Z</dcterms:created>
  <dcterms:modified xsi:type="dcterms:W3CDTF">2018-05-23T10:28:00Z</dcterms:modified>
</cp:coreProperties>
</file>